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20425806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521423" w:rsidRPr="0064711C">
        <w:rPr>
          <w:rFonts w:ascii="Segoe UI Light" w:hAnsi="Segoe UI Light" w:cs="Segoe UI Light"/>
          <w:b/>
          <w:sz w:val="26"/>
          <w:szCs w:val="26"/>
          <w:lang w:val="lv-LV"/>
        </w:rPr>
        <w:t>Konferenču zāles aprīkojuma piegāde un uzstādīšana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54949F16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9A557F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3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521423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11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11F4094C" w:rsidR="002A08BD" w:rsidRPr="0064711C" w:rsidRDefault="0064711C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64711C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https://www.eis.gov.lv/EKEIS/Supplier/Procurement/110880</w:t>
        </w:r>
      </w:hyperlink>
      <w:proofErr w:type="gramStart"/>
      <w:r w:rsidRPr="0064711C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A11EDF" w:rsidRPr="0064711C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proofErr w:type="gramEnd"/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08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2023-11-01T18:30:00Z</dcterms:created>
  <dcterms:modified xsi:type="dcterms:W3CDTF">2023-11-01T18:30:00Z</dcterms:modified>
</cp:coreProperties>
</file>