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10B5" w14:textId="77777777" w:rsidR="001A3DDE" w:rsidRPr="0064711C" w:rsidRDefault="001A6452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77777777" w:rsidR="00225465" w:rsidRPr="0064711C" w:rsidRDefault="00225465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43BD1E" w:rsidR="002A08BD" w:rsidRPr="0064711C" w:rsidRDefault="005C0D93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Atklāts konkurss</w:t>
      </w:r>
    </w:p>
    <w:p w14:paraId="54ADF468" w14:textId="788EA0D2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066669">
        <w:rPr>
          <w:rFonts w:ascii="Segoe UI Light" w:hAnsi="Segoe UI Light" w:cs="Segoe UI Light"/>
          <w:b/>
          <w:sz w:val="26"/>
          <w:szCs w:val="26"/>
          <w:lang w:val="lv-LV"/>
        </w:rPr>
        <w:t>Darbinieku veselības apdrošināšana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65222EE6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VASES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4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="00066669">
        <w:rPr>
          <w:rFonts w:ascii="Segoe UI Light" w:hAnsi="Segoe UI Light" w:cs="Segoe UI Light"/>
          <w:b/>
          <w:bCs/>
          <w:sz w:val="26"/>
          <w:szCs w:val="26"/>
          <w:lang w:val="lv-LV"/>
        </w:rPr>
        <w:t>6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3CB12C74" w:rsidR="002A08BD" w:rsidRPr="0064711C" w:rsidRDefault="0052581C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BA14D0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https://www.eis.gov.lv/EKEIS/Supplier/Procurement/124018</w:t>
        </w:r>
      </w:hyperlink>
      <w:r w:rsidR="00066669"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  <w:r w:rsidR="007D597A"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532A4"/>
    <w:rsid w:val="00066669"/>
    <w:rsid w:val="000A45A7"/>
    <w:rsid w:val="000C7CD0"/>
    <w:rsid w:val="000D61A4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1423"/>
    <w:rsid w:val="0052581C"/>
    <w:rsid w:val="00525D8A"/>
    <w:rsid w:val="005575E3"/>
    <w:rsid w:val="00560380"/>
    <w:rsid w:val="00591EB4"/>
    <w:rsid w:val="005931A9"/>
    <w:rsid w:val="005C0D93"/>
    <w:rsid w:val="005C7C82"/>
    <w:rsid w:val="005F317F"/>
    <w:rsid w:val="0060563C"/>
    <w:rsid w:val="00605E07"/>
    <w:rsid w:val="00627C43"/>
    <w:rsid w:val="00630F45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413CE"/>
    <w:rsid w:val="00854A8B"/>
    <w:rsid w:val="00856807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240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2024-04-17T12:41:00Z</dcterms:created>
  <dcterms:modified xsi:type="dcterms:W3CDTF">2024-05-21T16:39:00Z</dcterms:modified>
</cp:coreProperties>
</file>